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0"/>
        <w:gridCol w:w="1220"/>
        <w:gridCol w:w="172"/>
        <w:gridCol w:w="1182"/>
        <w:gridCol w:w="1085"/>
        <w:gridCol w:w="665"/>
        <w:gridCol w:w="341"/>
        <w:gridCol w:w="1361"/>
        <w:gridCol w:w="748"/>
        <w:gridCol w:w="2324"/>
        <w:gridCol w:w="1061"/>
      </w:tblGrid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b w:val="0"/>
                <w:szCs w:val="18"/>
                <w:lang w:val="sr-Cyrl-CS"/>
              </w:rPr>
            </w:pPr>
            <w:bookmarkStart w:id="0" w:name="_Toc365932616"/>
            <w:r w:rsidRPr="001515D0">
              <w:rPr>
                <w:rFonts w:eastAsia="Times New Roman"/>
                <w:b w:val="0"/>
                <w:szCs w:val="18"/>
                <w:lang w:val="sr-Cyrl-CS"/>
              </w:rPr>
              <w:t>Име, средње слово, презиме</w:t>
            </w:r>
            <w:bookmarkEnd w:id="0"/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1515D0" w:rsidRDefault="00A211DE" w:rsidP="005A71CF">
            <w:pPr>
              <w:pStyle w:val="Heading2"/>
              <w:rPr>
                <w:rFonts w:eastAsia="Times New Roman"/>
                <w:lang w:val="sr-Cyrl-CS"/>
              </w:rPr>
            </w:pPr>
            <w:bookmarkStart w:id="1" w:name="_Toc365932617"/>
            <w:r w:rsidRPr="001515D0">
              <w:rPr>
                <w:rFonts w:eastAsia="Times New Roman"/>
                <w:lang w:val="sr-Cyrl-CS"/>
              </w:rPr>
              <w:t>Гордана П. Будимир-Нинковић</w:t>
            </w:r>
            <w:bookmarkEnd w:id="1"/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В</w:t>
            </w:r>
            <w:r w:rsidRPr="00893AC7">
              <w:rPr>
                <w:szCs w:val="18"/>
                <w:lang w:val="sr-Cyrl-CS"/>
              </w:rPr>
              <w:t>анредни професор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Факултет педагошких наука Универзитета у Крагујевцу,</w:t>
            </w:r>
            <w:r>
              <w:rPr>
                <w:szCs w:val="18"/>
                <w:lang w:val="sr-Cyrl-CS"/>
              </w:rPr>
              <w:t xml:space="preserve"> Јагодина,</w:t>
            </w:r>
            <w:r w:rsidRPr="00893AC7">
              <w:rPr>
                <w:szCs w:val="18"/>
                <w:lang w:val="sr-Cyrl-CS"/>
              </w:rPr>
              <w:t xml:space="preserve"> од 16.11.1994</w:t>
            </w:r>
            <w:r>
              <w:rPr>
                <w:szCs w:val="18"/>
                <w:lang w:val="sr-Cyrl-CS"/>
              </w:rPr>
              <w:t>.</w:t>
            </w:r>
          </w:p>
        </w:tc>
      </w:tr>
      <w:tr w:rsidR="00A211DE" w:rsidRPr="004D04BF" w:rsidTr="005A71CF">
        <w:tc>
          <w:tcPr>
            <w:tcW w:w="5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П</w:t>
            </w:r>
            <w:r w:rsidRPr="00893AC7">
              <w:rPr>
                <w:szCs w:val="18"/>
                <w:lang w:val="sr-Cyrl-CS"/>
              </w:rPr>
              <w:t>едаг</w:t>
            </w:r>
            <w:r>
              <w:rPr>
                <w:szCs w:val="18"/>
                <w:lang w:val="sr-Cyrl-CS"/>
              </w:rPr>
              <w:t>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b/>
                <w:szCs w:val="18"/>
                <w:lang w:val="sr-Cyrl-CS"/>
              </w:rPr>
            </w:pPr>
            <w:r w:rsidRPr="00893AC7">
              <w:rPr>
                <w:b/>
                <w:szCs w:val="18"/>
              </w:rPr>
              <w:t>Академска каријера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Година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Институција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A97B81" w:rsidRDefault="00A211DE" w:rsidP="005A71CF">
            <w:pPr>
              <w:jc w:val="center"/>
              <w:rPr>
                <w:b/>
                <w:szCs w:val="18"/>
                <w:lang w:val="sr-Cyrl-CS"/>
              </w:rPr>
            </w:pPr>
            <w:r w:rsidRPr="00A97B81">
              <w:rPr>
                <w:b/>
                <w:szCs w:val="18"/>
                <w:lang w:val="sr-Cyrl-CS"/>
              </w:rPr>
              <w:t>Област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Избор у звање:</w:t>
            </w:r>
          </w:p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ванредни професор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2012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CE08D2">
              <w:rPr>
                <w:lang w:val="sr-Cyrl-CS"/>
              </w:rPr>
              <w:t>Факултет педагошких наука</w:t>
            </w:r>
            <w:r>
              <w:rPr>
                <w:lang w:val="sr-Cyrl-CS"/>
              </w:rPr>
              <w:t xml:space="preserve"> Универзитета у Крагујевцу</w:t>
            </w:r>
            <w:r w:rsidRPr="00CE08D2">
              <w:rPr>
                <w:lang w:val="sr-Cyrl-CS"/>
              </w:rPr>
              <w:t xml:space="preserve">, </w:t>
            </w:r>
            <w:r w:rsidRPr="009E6540">
              <w:rPr>
                <w:lang w:val="ru-RU"/>
              </w:rPr>
              <w:t>Јагодин</w:t>
            </w:r>
            <w:r w:rsidRPr="00CE08D2">
              <w:rPr>
                <w:lang w:val="sr-Cyrl-CS"/>
              </w:rPr>
              <w:t>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2002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Српском Сарајеву, Филозофски факултет Српско Сарајево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Специјализација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-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>
              <w:rPr>
                <w:szCs w:val="18"/>
                <w:lang w:val="sr-Cyrl-CS"/>
              </w:rPr>
              <w:t>-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1993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Новом Саду, Технички факултет „Михајло Пупин“, Зрењанин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jc w:val="center"/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1978</w:t>
            </w:r>
            <w:r>
              <w:rPr>
                <w:szCs w:val="18"/>
                <w:lang w:val="sr-Cyrl-CS"/>
              </w:rPr>
              <w:t>.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Универзитет у Сарајеву, Филозофски факултет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Default="00A211DE" w:rsidP="005A71CF">
            <w:r w:rsidRPr="005D6E51">
              <w:rPr>
                <w:szCs w:val="18"/>
                <w:lang w:val="sr-Cyrl-CS"/>
              </w:rPr>
              <w:t>Педагогија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893AC7" w:rsidRDefault="00A211DE" w:rsidP="005A71CF">
            <w:pPr>
              <w:rPr>
                <w:b/>
                <w:szCs w:val="18"/>
                <w:lang w:val="ru-RU"/>
              </w:rPr>
            </w:pPr>
            <w:r w:rsidRPr="00893AC7">
              <w:rPr>
                <w:b/>
                <w:szCs w:val="18"/>
                <w:lang w:val="sr-Cyrl-CS"/>
              </w:rPr>
              <w:t xml:space="preserve">Списак предмета које наставник држи </w:t>
            </w:r>
            <w:r w:rsidRPr="00893AC7">
              <w:rPr>
                <w:b/>
                <w:szCs w:val="18"/>
                <w:lang w:val="ru-RU"/>
              </w:rPr>
              <w:t>на студијама првог и другог нивоа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iCs/>
                <w:lang w:val="en-US"/>
              </w:rPr>
            </w:pPr>
            <w:r w:rsidRPr="00720588">
              <w:rPr>
                <w:b/>
                <w:iCs/>
                <w:lang w:val="sr-Cyrl-CS"/>
              </w:rPr>
              <w:t>Назив предмета</w:t>
            </w:r>
          </w:p>
          <w:p w:rsidR="00A211DE" w:rsidRPr="00720588" w:rsidRDefault="00A211DE" w:rsidP="005A71C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ru-RU"/>
              </w:rPr>
            </w:pPr>
            <w:r w:rsidRPr="00720588">
              <w:rPr>
                <w:b/>
                <w:iCs/>
                <w:lang w:val="sr-Cyrl-CS"/>
              </w:rPr>
              <w:t xml:space="preserve">Назив </w:t>
            </w:r>
            <w:r w:rsidRPr="00720588">
              <w:rPr>
                <w:b/>
                <w:iCs/>
                <w:lang w:val="ru-RU"/>
              </w:rPr>
              <w:t>студијског програма, врста студија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720588" w:rsidRDefault="00A211DE" w:rsidP="005A71CF">
            <w:pPr>
              <w:jc w:val="center"/>
              <w:rPr>
                <w:b/>
                <w:lang w:val="en-US"/>
              </w:rPr>
            </w:pPr>
            <w:proofErr w:type="spellStart"/>
            <w:r w:rsidRPr="00720588">
              <w:rPr>
                <w:b/>
                <w:lang w:val="en-US"/>
              </w:rPr>
              <w:t>Часова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активне</w:t>
            </w:r>
            <w:proofErr w:type="spellEnd"/>
            <w:r w:rsidRPr="00720588">
              <w:rPr>
                <w:b/>
                <w:lang w:val="en-US"/>
              </w:rPr>
              <w:t xml:space="preserve"> </w:t>
            </w:r>
            <w:proofErr w:type="spellStart"/>
            <w:r w:rsidRPr="00720588">
              <w:rPr>
                <w:b/>
                <w:lang w:val="en-US"/>
              </w:rPr>
              <w:t>наставе</w:t>
            </w:r>
            <w:proofErr w:type="spellEnd"/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1.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Увод у педагогију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2.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Школска и породична педагогија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3.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Породична педагогија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предшколским установама ОАС, 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 w:rsidRPr="00CD1027">
              <w:rPr>
                <w:lang w:val="sr-Cyrl-CS"/>
              </w:rPr>
              <w:t>4.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Васпитач у домовима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 w:rsidRPr="00CD1027">
              <w:rPr>
                <w:lang w:val="sr-Cyrl-CS"/>
              </w:rPr>
              <w:t>Педагогија слободног времена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Учитељ ОАС, Васпитач у предшколским установама ОАС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544002" w:rsidP="005A71CF">
            <w:pPr>
              <w:rPr>
                <w:lang w:val="sr-Cyrl-CS"/>
              </w:rPr>
            </w:pPr>
            <w:hyperlink r:id="rId5" w:history="1">
              <w:r w:rsidR="00A211DE" w:rsidRPr="00544002">
                <w:rPr>
                  <w:rStyle w:val="Hyperlink"/>
                  <w:lang w:val="sr-Cyrl-CS"/>
                </w:rPr>
                <w:t>Педагошка кому</w:t>
              </w:r>
              <w:r w:rsidR="00A211DE" w:rsidRPr="00544002">
                <w:rPr>
                  <w:rStyle w:val="Hyperlink"/>
                  <w:lang w:val="sr-Cyrl-CS"/>
                </w:rPr>
                <w:t>н</w:t>
              </w:r>
              <w:r w:rsidR="00A211DE" w:rsidRPr="00544002">
                <w:rPr>
                  <w:rStyle w:val="Hyperlink"/>
                  <w:lang w:val="sr-Cyrl-CS"/>
                </w:rPr>
                <w:t>икологија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Pr="00CD1027">
              <w:rPr>
                <w:lang w:val="sr-Cyrl-CS"/>
              </w:rPr>
              <w:t>.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544002" w:rsidP="005A71CF">
            <w:pPr>
              <w:rPr>
                <w:lang w:val="sr-Cyrl-CS"/>
              </w:rPr>
            </w:pPr>
            <w:hyperlink r:id="rId6" w:history="1">
              <w:r w:rsidR="00A211DE" w:rsidRPr="00544002">
                <w:rPr>
                  <w:rStyle w:val="Hyperlink"/>
                  <w:lang w:val="sr-Cyrl-CS"/>
                </w:rPr>
                <w:t>Феноменологија слобод</w:t>
              </w:r>
              <w:bookmarkStart w:id="2" w:name="_GoBack"/>
              <w:r w:rsidR="00A211DE" w:rsidRPr="00544002">
                <w:rPr>
                  <w:rStyle w:val="Hyperlink"/>
                  <w:lang w:val="sr-Cyrl-CS"/>
                </w:rPr>
                <w:t>н</w:t>
              </w:r>
              <w:bookmarkEnd w:id="2"/>
              <w:r w:rsidR="00A211DE" w:rsidRPr="00544002">
                <w:rPr>
                  <w:rStyle w:val="Hyperlink"/>
                  <w:lang w:val="sr-Cyrl-CS"/>
                </w:rPr>
                <w:t>ог времена</w:t>
              </w:r>
            </w:hyperlink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rPr>
                <w:lang w:val="sr-Cyrl-CS"/>
              </w:rPr>
            </w:pPr>
            <w:r>
              <w:rPr>
                <w:lang w:val="sr-Cyrl-CS"/>
              </w:rPr>
              <w:t>Мастер васпитач у домовима МАС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CD1027" w:rsidRDefault="00A211DE" w:rsidP="005A71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1.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(2013). </w:t>
            </w:r>
            <w:r w:rsidRPr="000B3BCD">
              <w:rPr>
                <w:i/>
                <w:sz w:val="18"/>
                <w:szCs w:val="18"/>
                <w:lang w:val="sr-Cyrl-CS"/>
              </w:rPr>
              <w:t>Педагогија слободног времена – хрестоматија, друго измењено и допуњено издање</w:t>
            </w:r>
            <w:r w:rsidRPr="004D04BF"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  <w:lang w:val="sr-Cyrl-CS"/>
              </w:rPr>
              <w:t xml:space="preserve">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Факултет педагошких наука Универзитета у Крагујевцу, Јагодина,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>, ИСБН 978-86-7604-106-0 ЦОБИСС.СР-ИД 196164108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2.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(2012). </w:t>
            </w:r>
            <w:r w:rsidRPr="000B3BCD">
              <w:rPr>
                <w:i/>
                <w:sz w:val="18"/>
                <w:szCs w:val="18"/>
                <w:lang w:val="sr-Cyrl-CS"/>
              </w:rPr>
              <w:t>Стилови живота и вредности родитеља и деце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>
              <w:rPr>
                <w:sz w:val="18"/>
                <w:szCs w:val="18"/>
                <w:lang w:val="sr-Cyrl-CS"/>
              </w:rPr>
              <w:t>Јагодина:</w:t>
            </w:r>
            <w:r w:rsidRPr="004D04BF">
              <w:rPr>
                <w:sz w:val="18"/>
                <w:szCs w:val="18"/>
                <w:lang w:val="sr-Cyrl-CS"/>
              </w:rPr>
              <w:t>. Педагошки факултет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4D04BF">
              <w:rPr>
                <w:sz w:val="18"/>
                <w:szCs w:val="18"/>
                <w:lang w:val="en-US"/>
              </w:rPr>
              <w:t>Citypress</w:t>
            </w:r>
            <w:proofErr w:type="spellEnd"/>
            <w:r w:rsidRPr="004D04BF">
              <w:rPr>
                <w:sz w:val="18"/>
                <w:szCs w:val="18"/>
                <w:lang w:val="sr-Cyrl-CS"/>
              </w:rPr>
              <w:t xml:space="preserve"> ИСБН 978- 86-7604-084-1 ЦОБИСС.СР-ИД 191449868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B3BCD" w:rsidRDefault="00A211DE" w:rsidP="005A71CF">
            <w:pPr>
              <w:jc w:val="center"/>
              <w:rPr>
                <w:lang w:val="sr-Cyrl-CS"/>
              </w:rPr>
            </w:pPr>
            <w:r w:rsidRPr="000B3BCD">
              <w:rPr>
                <w:lang w:val="sr-Cyrl-CS"/>
              </w:rPr>
              <w:t>3.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</w:rPr>
            </w:pPr>
            <w:r w:rsidRPr="000B3BCD">
              <w:rPr>
                <w:sz w:val="18"/>
                <w:szCs w:val="18"/>
              </w:rPr>
              <w:t xml:space="preserve">Budimir-Ninković, G. </w:t>
            </w:r>
            <w:r>
              <w:rPr>
                <w:sz w:val="18"/>
                <w:szCs w:val="18"/>
                <w:lang w:val="sr-Cyrl-CS"/>
              </w:rPr>
              <w:t xml:space="preserve">(2011). </w:t>
            </w:r>
            <w:r w:rsidRPr="004D04BF">
              <w:rPr>
                <w:sz w:val="18"/>
                <w:szCs w:val="18"/>
              </w:rPr>
              <w:t>Edukacija nastavnika za organizovanje slobodnog vremena učenika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radsova – treći međunarodni naučno – stručni skup «Edukacija nastavnika za budućnost», Urednik Muhamed Arnaut Pedagoški fakultet, Zenica. str. 1043-1050. UDK 378 01(063) (082) ISBN 978-99-58-615-25-2 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4.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Будимир-Нинковић, Г. (2011). </w:t>
            </w:r>
            <w:r w:rsidRPr="004D04BF">
              <w:rPr>
                <w:bCs/>
                <w:sz w:val="18"/>
                <w:szCs w:val="18"/>
              </w:rPr>
              <w:t>Васпитање у породици и школи данас</w:t>
            </w:r>
            <w:r>
              <w:rPr>
                <w:bCs/>
                <w:sz w:val="18"/>
                <w:szCs w:val="18"/>
                <w:lang w:val="sr-Cyrl-CS"/>
              </w:rPr>
              <w:t>. Јагодина: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bCs/>
                <w:sz w:val="18"/>
                <w:szCs w:val="18"/>
              </w:rPr>
              <w:t>Педагошки факултет</w:t>
            </w:r>
            <w:r>
              <w:rPr>
                <w:bCs/>
                <w:sz w:val="18"/>
                <w:szCs w:val="18"/>
                <w:lang w:val="sr-Cyrl-CS"/>
              </w:rPr>
              <w:t>. С</w:t>
            </w:r>
            <w:r w:rsidRPr="004D04BF">
              <w:rPr>
                <w:bCs/>
                <w:sz w:val="18"/>
                <w:szCs w:val="18"/>
              </w:rPr>
              <w:t>трана 1-226. . ЦИП - Каталогизација у публикацији Народна библиотека Србије, Београд 37.018.1/.2(035) ИСБН 978-86-7604-100-8 ЦОБИСС.СР-ИД 187272972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5.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bCs/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Doživotno učenje: određenja i tendencije.Kvalitet obrazovnog sistema Srbije u evropskoj perspektivi, zbornik radova/knjiga 1.Urednik Olivera Gajić „Ka uspostavljanju vrednosnih okvira i standarda: odabrani teorijsko – metodološki koncepti“, 379 – 390. Filozofski fakultet, Novi Sad, UD</w:t>
            </w:r>
            <w:r w:rsidRPr="004D04BF">
              <w:rPr>
                <w:sz w:val="18"/>
                <w:szCs w:val="18"/>
                <w:lang w:val="sr-Cyrl-CS"/>
              </w:rPr>
              <w:t>K</w:t>
            </w:r>
            <w:r w:rsidRPr="004D04BF">
              <w:rPr>
                <w:sz w:val="18"/>
                <w:szCs w:val="18"/>
              </w:rPr>
              <w:t xml:space="preserve"> 377.4 ISBN 978-86-6065-093-3COBISS.SR-ID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6.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jc w:val="both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(2011). </w:t>
            </w:r>
            <w:r w:rsidRPr="004D04BF">
              <w:rPr>
                <w:sz w:val="18"/>
                <w:szCs w:val="18"/>
              </w:rPr>
              <w:t>Interkulturalne kompetencije učitelja. Učitelj u balkanskim kulturama - Tematski zbornik, Učiteljski fakultet u Vranju, Međunarodni naučni skup, Izdavač prof. dr Stana Smiljković, urednik: prof. dr Sunčica Denić, 479-492</w:t>
            </w:r>
            <w:r w:rsidRPr="004D04BF">
              <w:rPr>
                <w:sz w:val="18"/>
                <w:szCs w:val="18"/>
                <w:lang w:val="sr-Cyrl-CS"/>
              </w:rPr>
              <w:t xml:space="preserve">. </w:t>
            </w:r>
            <w:r w:rsidRPr="004D04BF">
              <w:rPr>
                <w:sz w:val="18"/>
                <w:szCs w:val="18"/>
              </w:rPr>
              <w:t>373 (497)(082) 371.12(479.11):929(082) ISBN 978-86-82695-82-0 COBISS.SR-ID 186201100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7.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 xml:space="preserve">Budimir-Ninković, G. (2010). </w:t>
            </w:r>
            <w:r w:rsidRPr="004D04BF">
              <w:rPr>
                <w:sz w:val="18"/>
                <w:szCs w:val="18"/>
              </w:rPr>
              <w:t>Savremene vrednosne orijentacije mladih.</w:t>
            </w:r>
            <w:r w:rsidRPr="004D04BF">
              <w:rPr>
                <w:sz w:val="18"/>
                <w:szCs w:val="18"/>
                <w:lang w:val="sr-Cyrl-CS"/>
              </w:rPr>
              <w:t xml:space="preserve"> </w:t>
            </w:r>
            <w:r w:rsidRPr="004D04BF">
              <w:rPr>
                <w:sz w:val="18"/>
                <w:szCs w:val="18"/>
              </w:rPr>
              <w:t>Banjalučki novembarski susreti „Kultura i obrazovanje- determinante društvenoga progresa (dostignuća, problemi, perspektive), Filozofski fakultet Banjaluka. Zbornik sa naučnog skupa, glavni urednik: Drago Branković. 393-412 UDK 37.01(082) ISBN 978-99955-59-22-9</w:t>
            </w:r>
          </w:p>
        </w:tc>
      </w:tr>
      <w:tr w:rsidR="00A211DE" w:rsidRPr="004D04BF" w:rsidTr="005A71C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0D3F19" w:rsidRDefault="00A211DE" w:rsidP="005A71CF">
            <w:pPr>
              <w:jc w:val="center"/>
              <w:rPr>
                <w:lang w:val="en-US"/>
              </w:rPr>
            </w:pPr>
            <w:r w:rsidRPr="000D3F19">
              <w:rPr>
                <w:lang w:val="en-US"/>
              </w:rPr>
              <w:t>8.</w:t>
            </w:r>
          </w:p>
        </w:tc>
        <w:tc>
          <w:tcPr>
            <w:tcW w:w="101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Budimir-Ninković, G</w:t>
            </w:r>
            <w:r w:rsidRPr="004D04B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CS"/>
              </w:rPr>
              <w:t xml:space="preserve">(2010). </w:t>
            </w:r>
            <w:r w:rsidRPr="004D04BF">
              <w:rPr>
                <w:sz w:val="18"/>
                <w:szCs w:val="18"/>
              </w:rPr>
              <w:t>The role of school in educating young people on multiculturalism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4D04BF">
              <w:rPr>
                <w:sz w:val="18"/>
                <w:szCs w:val="18"/>
              </w:rPr>
              <w:t xml:space="preserve"> Zbornik The proceedings of the international symposium on “Multiculturalism in Education”, Suleyman Demirel University, Trakya University, urednik prof. dr Hilmi Ibar i assoc. prof. dr Husein Gul, Isparta, Turska, 13 – 24. ISBN 978-9944-425-39-7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A211DE" w:rsidRPr="004D04BF" w:rsidRDefault="00A211DE" w:rsidP="005A71CF">
            <w:pPr>
              <w:rPr>
                <w:b/>
                <w:sz w:val="18"/>
                <w:szCs w:val="18"/>
                <w:lang w:val="sr-Cyrl-CS"/>
              </w:rPr>
            </w:pPr>
            <w:r w:rsidRPr="00893AC7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Укупан број цитата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12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 xml:space="preserve">Укупан број радова са </w:t>
            </w:r>
            <w:r w:rsidRPr="00893AC7">
              <w:rPr>
                <w:szCs w:val="18"/>
                <w:lang w:val="en-US"/>
              </w:rPr>
              <w:t>SCI</w:t>
            </w:r>
            <w:r w:rsidRPr="00893AC7">
              <w:rPr>
                <w:szCs w:val="18"/>
                <w:lang w:val="sr-Cyrl-CS"/>
              </w:rPr>
              <w:t xml:space="preserve"> (</w:t>
            </w:r>
            <w:r w:rsidRPr="00893AC7">
              <w:rPr>
                <w:szCs w:val="18"/>
                <w:lang w:val="en-US"/>
              </w:rPr>
              <w:t>SSCI</w:t>
            </w:r>
            <w:r w:rsidRPr="00893AC7">
              <w:rPr>
                <w:szCs w:val="18"/>
                <w:lang w:val="sr-Cyrl-CS"/>
              </w:rPr>
              <w:t>) листе</w:t>
            </w:r>
          </w:p>
        </w:tc>
        <w:tc>
          <w:tcPr>
            <w:tcW w:w="6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23</w:t>
            </w:r>
          </w:p>
        </w:tc>
      </w:tr>
      <w:tr w:rsidR="00A211DE" w:rsidRPr="004D04BF" w:rsidTr="005A71CF">
        <w:tc>
          <w:tcPr>
            <w:tcW w:w="44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</w:rPr>
              <w:t>Тренутно у</w:t>
            </w:r>
            <w:r w:rsidRPr="00893AC7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Домаћи 1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893AC7" w:rsidRDefault="00A211DE" w:rsidP="005A71CF">
            <w:pPr>
              <w:rPr>
                <w:szCs w:val="18"/>
                <w:lang w:val="sr-Cyrl-CS"/>
              </w:rPr>
            </w:pPr>
            <w:r w:rsidRPr="00893AC7">
              <w:rPr>
                <w:szCs w:val="18"/>
                <w:lang w:val="sr-Cyrl-CS"/>
              </w:rPr>
              <w:t>Међународни 4</w:t>
            </w:r>
          </w:p>
        </w:tc>
      </w:tr>
      <w:tr w:rsidR="00A211DE" w:rsidRPr="004D04BF" w:rsidTr="005A71CF"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F90A74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F90A74" w:rsidRDefault="00A211DE" w:rsidP="005A71CF">
            <w:pPr>
              <w:rPr>
                <w:i/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sz w:val="18"/>
                <w:szCs w:val="18"/>
                <w:lang w:eastAsia="en-US"/>
              </w:rPr>
              <w:t>У</w:t>
            </w:r>
            <w:r w:rsidRPr="00F90A74">
              <w:rPr>
                <w:sz w:val="18"/>
                <w:szCs w:val="18"/>
                <w:lang w:val="sr-Cyrl-CS" w:eastAsia="en-US"/>
              </w:rPr>
              <w:t>ч</w:t>
            </w:r>
            <w:r w:rsidRPr="00F90A74">
              <w:rPr>
                <w:sz w:val="18"/>
                <w:szCs w:val="18"/>
                <w:lang w:eastAsia="en-US"/>
              </w:rPr>
              <w:t>е</w:t>
            </w:r>
            <w:r w:rsidRPr="00F90A74">
              <w:rPr>
                <w:sz w:val="18"/>
                <w:szCs w:val="18"/>
                <w:lang w:val="sr-Cyrl-CS" w:eastAsia="en-US"/>
              </w:rPr>
              <w:t>шћ</w:t>
            </w:r>
            <w:r w:rsidRPr="00F90A74">
              <w:rPr>
                <w:sz w:val="18"/>
                <w:szCs w:val="18"/>
                <w:lang w:eastAsia="en-US"/>
              </w:rPr>
              <w:t>еурадуXIIIсветскогконгресакомпаративнихпедагога</w:t>
            </w:r>
            <w:r w:rsidRPr="00F90A74">
              <w:rPr>
                <w:sz w:val="18"/>
                <w:szCs w:val="18"/>
                <w:lang w:val="sr-Cyrl-CS" w:eastAsia="en-US"/>
              </w:rPr>
              <w:t xml:space="preserve"> (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Ж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иветизаједно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 xml:space="preserve">: </w:t>
            </w:r>
            <w:r w:rsidRPr="00F90A74">
              <w:rPr>
                <w:i/>
                <w:iCs/>
                <w:sz w:val="18"/>
                <w:szCs w:val="18"/>
                <w:lang w:eastAsia="en-US"/>
              </w:rPr>
              <w:t>едукацијаиинтеркултуралнидијалог</w:t>
            </w:r>
            <w:r w:rsidRPr="00F90A74">
              <w:rPr>
                <w:i/>
                <w:iCs/>
                <w:sz w:val="18"/>
                <w:szCs w:val="18"/>
                <w:lang w:val="sr-Cyrl-CS" w:eastAsia="en-US"/>
              </w:rPr>
              <w:t>),</w:t>
            </w:r>
            <w:r w:rsidRPr="00F90A74">
              <w:rPr>
                <w:iCs/>
                <w:sz w:val="18"/>
                <w:szCs w:val="18"/>
                <w:lang w:eastAsia="en-US"/>
              </w:rPr>
              <w:t>Сарајево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2-7.09.2007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Студијски боравци: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1. до 31.7.1981. Ростов Велики – Совјетски Савез</w:t>
            </w:r>
          </w:p>
          <w:p w:rsidR="00A211DE" w:rsidRPr="00F90A74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>од 6. до 13. 11.2006. Сарганс – Швајцарска</w:t>
            </w:r>
          </w:p>
          <w:p w:rsidR="00A211DE" w:rsidRPr="004D04BF" w:rsidRDefault="00A211DE" w:rsidP="005A71CF">
            <w:pPr>
              <w:rPr>
                <w:iCs/>
                <w:sz w:val="18"/>
                <w:szCs w:val="18"/>
                <w:lang w:val="sr-Cyrl-CS" w:eastAsia="en-US"/>
              </w:rPr>
            </w:pP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октобар 2008. Хелсинки </w:t>
            </w:r>
            <w:r>
              <w:rPr>
                <w:iCs/>
                <w:sz w:val="18"/>
                <w:szCs w:val="18"/>
                <w:lang w:val="sr-Cyrl-CS" w:eastAsia="en-US"/>
              </w:rPr>
              <w:t>–</w:t>
            </w:r>
            <w:r w:rsidRPr="00F90A74">
              <w:rPr>
                <w:iCs/>
                <w:sz w:val="18"/>
                <w:szCs w:val="18"/>
                <w:lang w:val="sr-Cyrl-CS" w:eastAsia="en-US"/>
              </w:rPr>
              <w:t xml:space="preserve"> Финска</w:t>
            </w:r>
          </w:p>
        </w:tc>
      </w:tr>
      <w:tr w:rsidR="00A211DE" w:rsidRPr="004D04BF" w:rsidTr="005A71CF">
        <w:tc>
          <w:tcPr>
            <w:tcW w:w="109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DE" w:rsidRPr="004D04BF" w:rsidRDefault="00A211DE" w:rsidP="005A71CF">
            <w:pPr>
              <w:rPr>
                <w:sz w:val="18"/>
                <w:szCs w:val="18"/>
                <w:lang w:val="sr-Cyrl-CS"/>
              </w:rPr>
            </w:pPr>
            <w:r w:rsidRPr="004D04BF">
              <w:rPr>
                <w:sz w:val="18"/>
                <w:szCs w:val="18"/>
                <w:lang w:val="sr-Cyrl-CS"/>
              </w:rPr>
              <w:t xml:space="preserve">Други подаци </w:t>
            </w:r>
          </w:p>
        </w:tc>
      </w:tr>
    </w:tbl>
    <w:p w:rsidR="00F75EB4" w:rsidRPr="00A211DE" w:rsidRDefault="00F75EB4" w:rsidP="00A211DE"/>
    <w:sectPr w:rsidR="00F75EB4" w:rsidRPr="00A211DE" w:rsidSect="00686FCE">
      <w:pgSz w:w="11907" w:h="16840" w:code="9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CE"/>
    <w:rsid w:val="002679FC"/>
    <w:rsid w:val="00544002"/>
    <w:rsid w:val="00686FCE"/>
    <w:rsid w:val="006B2CC7"/>
    <w:rsid w:val="006F7B2F"/>
    <w:rsid w:val="008107D3"/>
    <w:rsid w:val="00A211DE"/>
    <w:rsid w:val="00A61783"/>
    <w:rsid w:val="00AA1DD6"/>
    <w:rsid w:val="00D621E7"/>
    <w:rsid w:val="00F7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5440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0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FC"/>
    <w:pPr>
      <w:widowControl w:val="0"/>
      <w:autoSpaceDE w:val="0"/>
      <w:autoSpaceDN w:val="0"/>
      <w:adjustRightInd w:val="0"/>
    </w:pPr>
    <w:rPr>
      <w:rFonts w:eastAsia="Calibri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next w:val="Normal"/>
    <w:link w:val="Heading2Char"/>
    <w:qFormat/>
    <w:rsid w:val="002679FC"/>
    <w:pPr>
      <w:keepNext/>
      <w:keepLines/>
      <w:jc w:val="center"/>
      <w:outlineLvl w:val="1"/>
    </w:pPr>
    <w:rPr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178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79FC"/>
    <w:rPr>
      <w:rFonts w:eastAsia="Calibri" w:cs="Times New Roman"/>
      <w:b/>
      <w:bCs/>
      <w:sz w:val="22"/>
      <w:szCs w:val="26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178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sr-Latn-CS" w:eastAsia="sr-Latn-CS"/>
    </w:rPr>
  </w:style>
  <w:style w:type="character" w:customStyle="1" w:styleId="apple-style-span">
    <w:name w:val="apple-style-span"/>
    <w:rsid w:val="00A61783"/>
    <w:rPr>
      <w:rFonts w:cs="Times New Roman"/>
    </w:rPr>
  </w:style>
  <w:style w:type="character" w:styleId="Emphasis">
    <w:name w:val="Emphasis"/>
    <w:qFormat/>
    <w:rsid w:val="00A61783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rsid w:val="0054400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0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../Tabele/Tabela%205.2/5.%20Fenomenologija_slobodnog_vremena.docx" TargetMode="External"/><Relationship Id="rId5" Type="http://schemas.openxmlformats.org/officeDocument/2006/relationships/hyperlink" Target="../../Tabele/Tabela%205.2/18.%20Pedagoska_komunikologija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</dc:creator>
  <cp:lastModifiedBy>Pavle</cp:lastModifiedBy>
  <cp:revision>3</cp:revision>
  <dcterms:created xsi:type="dcterms:W3CDTF">2013-09-24T09:17:00Z</dcterms:created>
  <dcterms:modified xsi:type="dcterms:W3CDTF">2013-10-03T09:40:00Z</dcterms:modified>
</cp:coreProperties>
</file>