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pPr>
              <w:rPr>
                <w:bCs/>
              </w:rPr>
            </w:pPr>
            <w:r w:rsidRPr="00EA446C">
              <w:rPr>
                <w:bCs/>
                <w:lang w:val="sr-Cyrl-CS"/>
              </w:rPr>
              <w:t>Студијски програм</w:t>
            </w:r>
            <w:r w:rsidRPr="00EA446C">
              <w:rPr>
                <w:bCs/>
                <w:lang w:val="ru-RU"/>
              </w:rPr>
              <w:t>/студијски програми</w:t>
            </w:r>
            <w:r w:rsidRPr="00EA446C">
              <w:rPr>
                <w:bCs/>
              </w:rPr>
              <w:t>:</w:t>
            </w:r>
            <w:r w:rsidRPr="008A266F">
              <w:rPr>
                <w:lang w:val="ru-RU"/>
              </w:rPr>
              <w:t xml:space="preserve"> </w:t>
            </w:r>
            <w:r>
              <w:rPr>
                <w:lang w:val="sr-Cyrl-RS"/>
              </w:rPr>
              <w:t>Мастер в</w:t>
            </w:r>
            <w:r w:rsidRPr="008A266F">
              <w:rPr>
                <w:lang w:val="ru-RU"/>
              </w:rPr>
              <w:t>аспитач у домовима</w:t>
            </w:r>
            <w:r w:rsidRPr="00EA446C">
              <w:rPr>
                <w:u w:val="single"/>
                <w:lang w:val="sr-Cyrl-CS"/>
              </w:rPr>
              <w:t xml:space="preserve"> 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pPr>
              <w:rPr>
                <w:bCs/>
                <w:lang w:val="sr-Cyrl-CS"/>
              </w:rPr>
            </w:pPr>
            <w:r w:rsidRPr="00EA446C">
              <w:rPr>
                <w:lang w:val="sr-Cyrl-CS"/>
              </w:rPr>
              <w:t xml:space="preserve">Врста </w:t>
            </w:r>
            <w:r w:rsidRPr="00EA446C">
              <w:rPr>
                <w:lang w:val="ru-RU"/>
              </w:rPr>
              <w:t>и ниво студија:</w:t>
            </w:r>
            <w:r w:rsidRPr="00EA446C">
              <w:t xml:space="preserve"> </w:t>
            </w:r>
            <w:r w:rsidRPr="00EA446C">
              <w:rPr>
                <w:lang w:val="sr-Cyrl-RS"/>
              </w:rPr>
              <w:t>М</w:t>
            </w:r>
            <w:r w:rsidRPr="00EA446C">
              <w:t>астер</w:t>
            </w:r>
            <w:r>
              <w:rPr>
                <w:lang w:val="sr-Cyrl-RS"/>
              </w:rPr>
              <w:t xml:space="preserve"> академске студије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896DE9" w:rsidRDefault="001831DF" w:rsidP="008D5913">
            <w:pPr>
              <w:pStyle w:val="Heading3"/>
            </w:pPr>
            <w:bookmarkStart w:id="0" w:name="_Toc366487983"/>
            <w:r w:rsidRPr="00896DE9">
              <w:rPr>
                <w:bCs w:val="0"/>
                <w:lang w:val="sr-Cyrl-CS"/>
              </w:rPr>
              <w:t xml:space="preserve">Назив предмета: </w:t>
            </w:r>
            <w:r w:rsidRPr="00896DE9">
              <w:rPr>
                <w:lang w:val="sr-Cyrl-CS"/>
              </w:rPr>
              <w:t>Педагошка комуникологија</w:t>
            </w:r>
            <w:bookmarkEnd w:id="0"/>
            <w:r>
              <w:rPr>
                <w:u w:val="single"/>
                <w:lang w:val="sr-Cyrl-CS"/>
              </w:rPr>
              <w:t xml:space="preserve"> 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pPr>
              <w:rPr>
                <w:b/>
                <w:bCs/>
                <w:lang w:val="sr-Cyrl-CS"/>
              </w:rPr>
            </w:pPr>
            <w:r w:rsidRPr="00EA446C">
              <w:rPr>
                <w:b/>
                <w:bCs/>
                <w:lang w:val="sr-Cyrl-CS"/>
              </w:rPr>
              <w:t>Наставник</w:t>
            </w:r>
            <w:r w:rsidRPr="00EA446C">
              <w:rPr>
                <w:b/>
                <w:bCs/>
                <w:lang w:val="ru-RU"/>
              </w:rPr>
              <w:t xml:space="preserve"> (</w:t>
            </w:r>
            <w:r w:rsidRPr="00EA446C">
              <w:rPr>
                <w:lang w:val="sr-Cyrl-CS"/>
              </w:rPr>
              <w:t>Име, средње слово, презиме</w:t>
            </w:r>
            <w:r w:rsidRPr="00EA446C">
              <w:rPr>
                <w:lang w:val="ru-RU"/>
              </w:rPr>
              <w:t>)</w:t>
            </w:r>
            <w:r w:rsidRPr="00EA446C">
              <w:rPr>
                <w:b/>
                <w:bCs/>
                <w:lang w:val="sr-Cyrl-CS"/>
              </w:rPr>
              <w:t xml:space="preserve">: </w:t>
            </w:r>
            <w:r w:rsidRPr="00C20BF6">
              <w:rPr>
                <w:b/>
                <w:bCs/>
                <w:lang w:val="sr-Cyrl-CS"/>
              </w:rPr>
              <w:t xml:space="preserve">Гордана </w:t>
            </w:r>
            <w:r w:rsidRPr="00C20BF6">
              <w:rPr>
                <w:b/>
                <w:bCs/>
                <w:lang w:val="sr-Cyrl-RS"/>
              </w:rPr>
              <w:t xml:space="preserve">П. </w:t>
            </w:r>
            <w:r w:rsidRPr="00C20BF6">
              <w:rPr>
                <w:b/>
                <w:bCs/>
                <w:lang w:val="sr-Cyrl-CS"/>
              </w:rPr>
              <w:t>Будимир-Нинковић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r w:rsidRPr="00EA446C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О</w:t>
            </w:r>
            <w:r w:rsidRPr="00EA446C">
              <w:rPr>
                <w:bCs/>
                <w:lang w:val="sr-Cyrl-CS"/>
              </w:rPr>
              <w:t>бавезни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C20BF6" w:rsidRDefault="001831DF" w:rsidP="008D5913">
            <w:pPr>
              <w:rPr>
                <w:lang w:val="sr-Cyrl-RS"/>
              </w:rPr>
            </w:pPr>
            <w:r w:rsidRPr="00EA446C">
              <w:rPr>
                <w:bCs/>
                <w:lang w:val="sr-Cyrl-CS"/>
              </w:rPr>
              <w:t>Број ЕСПБ</w:t>
            </w:r>
            <w:r w:rsidRPr="00EA446C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7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C20BF6" w:rsidRDefault="001831DF" w:rsidP="008D5913">
            <w:pPr>
              <w:rPr>
                <w:lang w:val="sr-Cyrl-RS"/>
              </w:rPr>
            </w:pPr>
            <w:r w:rsidRPr="00EA446C">
              <w:rPr>
                <w:bCs/>
                <w:lang w:val="sr-Cyrl-CS"/>
              </w:rPr>
              <w:t>Услов</w:t>
            </w:r>
            <w:r w:rsidRPr="00EA446C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/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pPr>
              <w:jc w:val="both"/>
              <w:rPr>
                <w:b/>
                <w:bCs/>
                <w:lang w:val="sr-Cyrl-CS"/>
              </w:rPr>
            </w:pPr>
            <w:r w:rsidRPr="00EA446C">
              <w:rPr>
                <w:b/>
                <w:bCs/>
                <w:lang w:val="sr-Cyrl-CS"/>
              </w:rPr>
              <w:t>Циљ предмета</w:t>
            </w:r>
          </w:p>
          <w:p w:rsidR="001831DF" w:rsidRPr="00EA446C" w:rsidRDefault="001831DF" w:rsidP="008D5913">
            <w:pPr>
              <w:jc w:val="both"/>
              <w:rPr>
                <w:b/>
                <w:bCs/>
                <w:lang w:val="sr-Cyrl-CS"/>
              </w:rPr>
            </w:pPr>
            <w:r w:rsidRPr="00EA446C">
              <w:rPr>
                <w:lang w:val="sr-Cyrl-CS"/>
              </w:rPr>
              <w:t xml:space="preserve">Разумевање појма, предмета и садржаја предмета педагошка комуникологија, разумевање врсте комуникације,  упознавање са средствима и начинима комуницирања; </w:t>
            </w:r>
            <w:r w:rsidRPr="00EA446C">
              <w:rPr>
                <w:b/>
                <w:bCs/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Стицање основних сазнања о развијању комуникационих компетенција васпитача, упознавање са функцијама и етапама педагошког комуницирања, овладавање техникама одашиљања и пријема садржаја педагошког комуницирања;</w:t>
            </w:r>
            <w:r w:rsidRPr="00EA446C">
              <w:rPr>
                <w:color w:val="000000"/>
                <w:spacing w:val="1"/>
                <w:lang w:val="sr-Cyrl-CS"/>
              </w:rPr>
              <w:t xml:space="preserve"> Развијање умења вербалног и невербалног комуницирања са децом, индивидуалног комуницирања и комуницирања у васпитној групи, развијање способности за употребу комуникационих вештина у решавању конфликата.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pPr>
              <w:jc w:val="both"/>
              <w:rPr>
                <w:b/>
                <w:bCs/>
                <w:lang w:val="sr-Cyrl-CS"/>
              </w:rPr>
            </w:pPr>
            <w:r w:rsidRPr="00EA446C">
              <w:rPr>
                <w:b/>
                <w:bCs/>
                <w:lang w:val="sr-Cyrl-CS"/>
              </w:rPr>
              <w:t xml:space="preserve">Исход предмета </w:t>
            </w:r>
          </w:p>
          <w:p w:rsidR="001831DF" w:rsidRPr="00EA446C" w:rsidRDefault="001831DF" w:rsidP="008D5913">
            <w:pPr>
              <w:jc w:val="both"/>
              <w:rPr>
                <w:lang w:val="sr-Cyrl-CS"/>
              </w:rPr>
            </w:pPr>
            <w:r w:rsidRPr="00EA446C">
              <w:rPr>
                <w:lang w:val="sr-Cyrl-CS"/>
              </w:rPr>
              <w:t>Јачање и развијање компетенција васпитача за ефикасну педагошку комуникацију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8A266F" w:rsidRDefault="001831DF" w:rsidP="008D5913">
            <w:pPr>
              <w:jc w:val="both"/>
              <w:rPr>
                <w:b/>
                <w:bCs/>
              </w:rPr>
            </w:pPr>
            <w:r w:rsidRPr="00EA446C">
              <w:rPr>
                <w:b/>
                <w:bCs/>
                <w:lang w:val="sr-Cyrl-CS"/>
              </w:rPr>
              <w:t>Садржај предмета</w:t>
            </w:r>
          </w:p>
          <w:p w:rsidR="001831DF" w:rsidRPr="00EA446C" w:rsidRDefault="001831DF" w:rsidP="008D5913">
            <w:pPr>
              <w:jc w:val="both"/>
              <w:rPr>
                <w:i/>
                <w:iCs/>
                <w:lang w:val="sr-Cyrl-CS"/>
              </w:rPr>
            </w:pPr>
            <w:r w:rsidRPr="00EA446C">
              <w:rPr>
                <w:i/>
                <w:iCs/>
                <w:lang w:val="sr-Cyrl-CS"/>
              </w:rPr>
              <w:t>Теоријска настава</w:t>
            </w:r>
          </w:p>
          <w:p w:rsidR="001831DF" w:rsidRPr="00EA446C" w:rsidRDefault="001831DF" w:rsidP="008D5913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Кључни </w:t>
            </w:r>
            <w:r w:rsidRPr="00EA446C">
              <w:rPr>
                <w:lang w:val="sr-Cyrl-CS"/>
              </w:rPr>
              <w:t xml:space="preserve">аспекти, </w:t>
            </w:r>
            <w:r>
              <w:rPr>
                <w:lang w:val="sr-Cyrl-CS"/>
              </w:rPr>
              <w:t xml:space="preserve">структура и садржаји педагошког </w:t>
            </w:r>
            <w:r w:rsidRPr="00EA446C">
              <w:rPr>
                <w:lang w:val="sr-Cyrl-CS"/>
              </w:rPr>
              <w:t>комуницирања;</w:t>
            </w:r>
            <w:r w:rsidRPr="00EA446C">
              <w:rPr>
                <w:i/>
                <w:iCs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Теоријско методолошки оквири </w:t>
            </w:r>
            <w:r w:rsidRPr="00EA446C">
              <w:rPr>
                <w:lang w:val="sr-Cyrl-CS"/>
              </w:rPr>
              <w:t>комуникологије;</w:t>
            </w:r>
            <w:r>
              <w:rPr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Функције педагошког комуницирања; Вербално и невербално комуницирање; Решавање конфликата путем педагошке комуникације;</w:t>
            </w:r>
            <w:r w:rsidRPr="00EA446C">
              <w:rPr>
                <w:i/>
                <w:iCs/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Педагошка комуникација у предшколској установи;</w:t>
            </w:r>
            <w:r>
              <w:rPr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Кључни аспекти ефикасности педагошке комуникације;</w:t>
            </w:r>
            <w:r w:rsidRPr="00EA446C">
              <w:rPr>
                <w:i/>
                <w:iCs/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Нове улоге наставника- васпитача и деце у оквирима педагошке комуникације;</w:t>
            </w:r>
            <w:r w:rsidRPr="00EA446C">
              <w:rPr>
                <w:i/>
                <w:iCs/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Одашиљање садржаја педагошке комуникације;</w:t>
            </w:r>
            <w:r w:rsidRPr="00EA446C">
              <w:rPr>
                <w:i/>
                <w:iCs/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Пријем садржаја педагошке комуникације;</w:t>
            </w:r>
            <w:r w:rsidRPr="00EA446C">
              <w:rPr>
                <w:i/>
                <w:iCs/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Активно слушање;</w:t>
            </w:r>
            <w:r w:rsidRPr="00EA446C">
              <w:rPr>
                <w:i/>
                <w:iCs/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Пријем и одашиљање невербалних сигнала Врсте конфликата;</w:t>
            </w:r>
            <w:r>
              <w:rPr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Конфликти на релацији васпитач-дете-породица;</w:t>
            </w:r>
            <w:r w:rsidRPr="00EA446C">
              <w:rPr>
                <w:lang w:val="sr-Cyrl-RS"/>
              </w:rPr>
              <w:t xml:space="preserve"> </w:t>
            </w:r>
            <w:r w:rsidRPr="00EA446C">
              <w:rPr>
                <w:lang w:val="sr-Cyrl-CS"/>
              </w:rPr>
              <w:t>Решавање конфликата у малим групама;</w:t>
            </w:r>
            <w:r w:rsidRPr="00EA446C">
              <w:rPr>
                <w:lang w:val="sr-Cyrl-RS"/>
              </w:rPr>
              <w:t xml:space="preserve"> </w:t>
            </w:r>
            <w:r w:rsidRPr="00EA446C">
              <w:rPr>
                <w:lang w:val="sr-Cyrl-CS"/>
              </w:rPr>
              <w:t>Предности и негативни ефекти конфликата;</w:t>
            </w:r>
            <w:r w:rsidRPr="00EA446C">
              <w:rPr>
                <w:lang w:val="sr-Cyrl-RS"/>
              </w:rPr>
              <w:t xml:space="preserve"> </w:t>
            </w:r>
            <w:r w:rsidRPr="00EA446C">
              <w:rPr>
                <w:lang w:val="sr-Cyrl-CS"/>
              </w:rPr>
              <w:t>Типови конфликата;</w:t>
            </w:r>
            <w:r w:rsidRPr="00EA446C">
              <w:rPr>
                <w:lang w:val="sr-Cyrl-RS"/>
              </w:rPr>
              <w:t xml:space="preserve"> </w:t>
            </w:r>
            <w:r w:rsidRPr="00EA446C">
              <w:rPr>
                <w:lang w:val="sr-Cyrl-CS"/>
              </w:rPr>
              <w:t>Стилови разрешавања конфликата у малим групама</w:t>
            </w:r>
            <w:r>
              <w:rPr>
                <w:lang w:val="sr-Cyrl-CS"/>
              </w:rPr>
              <w:t xml:space="preserve">; </w:t>
            </w:r>
            <w:r w:rsidRPr="00EA446C">
              <w:rPr>
                <w:lang w:val="sr-Cyrl-CS"/>
              </w:rPr>
              <w:t>Значај педагошке комуникације у предшколској установи; Способност креирања услова за ефикасно педагошко комуницирање; Вербално комуницирање васпитача са децом и родитељима у предшколској установи;</w:t>
            </w:r>
          </w:p>
          <w:p w:rsidR="001831DF" w:rsidRPr="00EA446C" w:rsidRDefault="001831DF" w:rsidP="008D5913">
            <w:pPr>
              <w:jc w:val="both"/>
              <w:rPr>
                <w:i/>
                <w:iCs/>
                <w:lang w:val="sr-Cyrl-CS"/>
              </w:rPr>
            </w:pPr>
          </w:p>
          <w:p w:rsidR="001831DF" w:rsidRPr="00EA446C" w:rsidRDefault="001831DF" w:rsidP="008D5913">
            <w:pPr>
              <w:jc w:val="both"/>
              <w:rPr>
                <w:bCs/>
                <w:i/>
                <w:lang w:val="ru-RU"/>
              </w:rPr>
            </w:pPr>
            <w:r w:rsidRPr="00EA446C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 </w:t>
            </w:r>
            <w:r w:rsidRPr="00EA446C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1831DF" w:rsidRPr="00EA446C" w:rsidRDefault="001831DF" w:rsidP="008D5913">
            <w:pPr>
              <w:jc w:val="both"/>
              <w:rPr>
                <w:lang w:val="ru-RU"/>
              </w:rPr>
            </w:pPr>
            <w:r w:rsidRPr="00EA446C">
              <w:rPr>
                <w:noProof/>
                <w:lang w:val="sr-Cyrl-CS" w:eastAsia="es-ES_tradnl"/>
              </w:rPr>
              <w:t>На основу часова вежби и  стручне праксе  студенти треба  самостално да напишу радове који се односе на улогу васпитача у педагошкој комуникацији, да дају конкретне примере активног слушања и дају примере из праксе који се односе на пријем и одашиљање невербалних сигнала.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pPr>
              <w:rPr>
                <w:b/>
                <w:bCs/>
                <w:lang w:val="sr-Cyrl-CS"/>
              </w:rPr>
            </w:pPr>
            <w:r w:rsidRPr="00EA446C">
              <w:rPr>
                <w:b/>
                <w:bCs/>
                <w:lang w:val="sr-Cyrl-CS"/>
              </w:rPr>
              <w:t>Литература</w:t>
            </w:r>
          </w:p>
          <w:p w:rsidR="001831DF" w:rsidRPr="00EA446C" w:rsidRDefault="001831DF" w:rsidP="001831DF">
            <w:pPr>
              <w:numPr>
                <w:ilvl w:val="0"/>
                <w:numId w:val="22"/>
              </w:numPr>
              <w:ind w:left="567" w:hanging="425"/>
              <w:jc w:val="both"/>
              <w:rPr>
                <w:b/>
                <w:noProof/>
                <w:lang w:val="sr-Cyrl-CS" w:eastAsia="es-ES_tradnl"/>
              </w:rPr>
            </w:pPr>
            <w:r w:rsidRPr="00C83167">
              <w:rPr>
                <w:noProof/>
                <w:lang w:val="sr-Cyrl-CS" w:eastAsia="es-ES_tradnl"/>
              </w:rPr>
              <w:t>Сузић, Н.</w:t>
            </w:r>
            <w:r w:rsidRPr="00EA446C">
              <w:rPr>
                <w:b/>
                <w:noProof/>
                <w:lang w:val="sr-Cyrl-CS" w:eastAsia="es-ES_tradnl"/>
              </w:rPr>
              <w:t xml:space="preserve"> </w:t>
            </w:r>
            <w:r w:rsidRPr="00C83167">
              <w:rPr>
                <w:noProof/>
                <w:lang w:val="sr-Cyrl-CS" w:eastAsia="es-ES_tradnl"/>
              </w:rPr>
              <w:t>(</w:t>
            </w:r>
            <w:r>
              <w:rPr>
                <w:noProof/>
                <w:lang w:val="sr-Cyrl-CS" w:eastAsia="es-ES_tradnl"/>
              </w:rPr>
              <w:t>2005).</w:t>
            </w:r>
            <w:r w:rsidRPr="00EA446C">
              <w:rPr>
                <w:noProof/>
                <w:lang w:val="sr-Cyrl-CS" w:eastAsia="es-ES_tradnl"/>
              </w:rPr>
              <w:t xml:space="preserve"> </w:t>
            </w:r>
            <w:r w:rsidRPr="00C83167">
              <w:rPr>
                <w:i/>
                <w:noProof/>
                <w:lang w:val="sr-Cyrl-CS" w:eastAsia="es-ES_tradnl"/>
              </w:rPr>
              <w:t>Педагогија за 21. вијек</w:t>
            </w:r>
            <w:r>
              <w:rPr>
                <w:noProof/>
                <w:lang w:val="sr-Cyrl-CS" w:eastAsia="es-ES_tradnl"/>
              </w:rPr>
              <w:t>.</w:t>
            </w:r>
            <w:r w:rsidRPr="00EA446C">
              <w:rPr>
                <w:noProof/>
                <w:lang w:val="sr-Cyrl-CS" w:eastAsia="es-ES_tradnl"/>
              </w:rPr>
              <w:t xml:space="preserve"> Бања Лука:</w:t>
            </w:r>
            <w:r>
              <w:rPr>
                <w:noProof/>
                <w:lang w:val="sr-Cyrl-CS" w:eastAsia="es-ES_tradnl"/>
              </w:rPr>
              <w:t xml:space="preserve"> </w:t>
            </w:r>
            <w:r w:rsidRPr="00EA446C">
              <w:rPr>
                <w:noProof/>
                <w:lang w:val="sr-Cyrl-CS" w:eastAsia="es-ES_tradnl"/>
              </w:rPr>
              <w:t xml:space="preserve">ТТ Центар, </w:t>
            </w:r>
            <w:r>
              <w:rPr>
                <w:noProof/>
                <w:lang w:val="sr-Cyrl-CS" w:eastAsia="es-ES_tradnl"/>
              </w:rPr>
              <w:t>(</w:t>
            </w:r>
            <w:r w:rsidRPr="00EA446C">
              <w:rPr>
                <w:noProof/>
                <w:lang w:val="sr-Cyrl-CS" w:eastAsia="es-ES_tradnl"/>
              </w:rPr>
              <w:t>163-223</w:t>
            </w:r>
            <w:r>
              <w:rPr>
                <w:noProof/>
                <w:lang w:val="sr-Cyrl-CS" w:eastAsia="es-ES_tradnl"/>
              </w:rPr>
              <w:t xml:space="preserve"> и</w:t>
            </w:r>
            <w:r w:rsidRPr="00EA446C">
              <w:rPr>
                <w:noProof/>
                <w:lang w:val="sr-Cyrl-CS" w:eastAsia="es-ES_tradnl"/>
              </w:rPr>
              <w:t xml:space="preserve"> 285-301</w:t>
            </w:r>
            <w:r>
              <w:rPr>
                <w:noProof/>
                <w:lang w:val="sr-Cyrl-CS" w:eastAsia="es-ES_tradnl"/>
              </w:rPr>
              <w:t>)</w:t>
            </w:r>
            <w:r w:rsidRPr="00EA446C">
              <w:rPr>
                <w:noProof/>
                <w:lang w:val="sr-Cyrl-CS" w:eastAsia="es-ES_tradnl"/>
              </w:rPr>
              <w:t>.</w:t>
            </w:r>
          </w:p>
          <w:p w:rsidR="001831DF" w:rsidRPr="00EA446C" w:rsidRDefault="001831DF" w:rsidP="001831DF">
            <w:pPr>
              <w:numPr>
                <w:ilvl w:val="0"/>
                <w:numId w:val="22"/>
              </w:numPr>
              <w:ind w:left="567" w:hanging="425"/>
              <w:jc w:val="both"/>
              <w:rPr>
                <w:noProof/>
                <w:lang w:val="sr-Cyrl-CS" w:eastAsia="es-ES_tradnl"/>
              </w:rPr>
            </w:pPr>
            <w:r w:rsidRPr="00C83167">
              <w:rPr>
                <w:noProof/>
                <w:lang w:val="sr-Cyrl-CS" w:eastAsia="es-ES_tradnl"/>
              </w:rPr>
              <w:t>Брајша, П.</w:t>
            </w:r>
            <w:r w:rsidRPr="00EA446C">
              <w:rPr>
                <w:b/>
                <w:noProof/>
                <w:lang w:val="sr-Cyrl-CS" w:eastAsia="es-ES_tradnl"/>
              </w:rPr>
              <w:t xml:space="preserve"> </w:t>
            </w:r>
            <w:r>
              <w:rPr>
                <w:noProof/>
                <w:lang w:val="sr-Cyrl-CS" w:eastAsia="es-ES_tradnl"/>
              </w:rPr>
              <w:t>(1994).</w:t>
            </w:r>
            <w:r w:rsidRPr="00EA446C">
              <w:rPr>
                <w:noProof/>
                <w:lang w:val="sr-Cyrl-CS" w:eastAsia="es-ES_tradnl"/>
              </w:rPr>
              <w:t xml:space="preserve"> </w:t>
            </w:r>
            <w:r w:rsidRPr="00C83167">
              <w:rPr>
                <w:i/>
                <w:noProof/>
                <w:lang w:val="sr-Cyrl-CS" w:eastAsia="es-ES_tradnl"/>
              </w:rPr>
              <w:t>Педагошка комуникологија</w:t>
            </w:r>
            <w:r>
              <w:rPr>
                <w:noProof/>
                <w:lang w:val="sr-Cyrl-CS" w:eastAsia="es-ES_tradnl"/>
              </w:rPr>
              <w:t xml:space="preserve">. </w:t>
            </w:r>
            <w:r w:rsidRPr="00EA446C">
              <w:rPr>
                <w:noProof/>
                <w:lang w:val="sr-Cyrl-CS" w:eastAsia="es-ES_tradnl"/>
              </w:rPr>
              <w:t>Загреб:</w:t>
            </w:r>
            <w:r>
              <w:rPr>
                <w:noProof/>
                <w:lang w:val="sr-Cyrl-CS" w:eastAsia="es-ES_tradnl"/>
              </w:rPr>
              <w:t xml:space="preserve"> </w:t>
            </w:r>
            <w:r w:rsidRPr="00EA446C">
              <w:rPr>
                <w:noProof/>
                <w:lang w:val="sr-Cyrl-CS" w:eastAsia="es-ES_tradnl"/>
              </w:rPr>
              <w:t>Школске Новине</w:t>
            </w:r>
          </w:p>
          <w:p w:rsidR="001831DF" w:rsidRPr="00EA446C" w:rsidRDefault="001831DF" w:rsidP="001831DF">
            <w:pPr>
              <w:numPr>
                <w:ilvl w:val="0"/>
                <w:numId w:val="22"/>
              </w:numPr>
              <w:ind w:left="567" w:hanging="425"/>
              <w:jc w:val="both"/>
              <w:rPr>
                <w:b/>
                <w:bCs/>
                <w:lang w:val="sr-Cyrl-CS"/>
              </w:rPr>
            </w:pPr>
            <w:r w:rsidRPr="00C83167">
              <w:rPr>
                <w:lang w:val="sr-Cyrl-CS"/>
              </w:rPr>
              <w:t>Братанић, М.</w:t>
            </w:r>
            <w:r w:rsidRPr="00EA446C">
              <w:rPr>
                <w:b/>
                <w:lang w:val="sr-Cyrl-CS"/>
              </w:rPr>
              <w:t xml:space="preserve"> </w:t>
            </w:r>
            <w:r>
              <w:rPr>
                <w:lang w:val="sr-Cyrl-CS"/>
              </w:rPr>
              <w:t>(1990).</w:t>
            </w:r>
            <w:r w:rsidRPr="00EA446C">
              <w:rPr>
                <w:lang w:val="sr-Cyrl-CS"/>
              </w:rPr>
              <w:t xml:space="preserve"> </w:t>
            </w:r>
            <w:r w:rsidRPr="00C83167">
              <w:rPr>
                <w:i/>
                <w:lang w:val="sr-Cyrl-CS"/>
              </w:rPr>
              <w:t>Интеракцијско-комуникацијски аспект одгоја</w:t>
            </w:r>
            <w:r>
              <w:rPr>
                <w:lang w:val="sr-Cyrl-CS"/>
              </w:rPr>
              <w:t>.</w:t>
            </w:r>
            <w:r w:rsidRPr="00EA446C">
              <w:rPr>
                <w:lang w:val="sr-Cyrl-CS"/>
              </w:rPr>
              <w:t xml:space="preserve"> Загреб: Школска</w:t>
            </w:r>
            <w:r>
              <w:rPr>
                <w:lang w:val="sr-Cyrl-CS"/>
              </w:rPr>
              <w:t xml:space="preserve"> књига.</w:t>
            </w:r>
          </w:p>
          <w:p w:rsidR="001831DF" w:rsidRPr="00ED22C8" w:rsidRDefault="001831DF" w:rsidP="001831DF">
            <w:pPr>
              <w:numPr>
                <w:ilvl w:val="0"/>
                <w:numId w:val="22"/>
              </w:numPr>
              <w:ind w:left="567" w:hanging="425"/>
              <w:jc w:val="both"/>
              <w:rPr>
                <w:lang w:val="ru-RU"/>
              </w:rPr>
            </w:pPr>
            <w:r w:rsidRPr="00C83167">
              <w:rPr>
                <w:lang w:val="sr-Cyrl-CS"/>
              </w:rPr>
              <w:t>Зборник радова (</w:t>
            </w:r>
            <w:r>
              <w:rPr>
                <w:lang w:val="sr-Cyrl-CS"/>
              </w:rPr>
              <w:t>2006).</w:t>
            </w:r>
            <w:r w:rsidRPr="00EA446C">
              <w:rPr>
                <w:lang w:val="sr-Cyrl-CS"/>
              </w:rPr>
              <w:t xml:space="preserve"> </w:t>
            </w:r>
            <w:r w:rsidRPr="00C83167">
              <w:rPr>
                <w:i/>
                <w:lang w:val="sr-Cyrl-CS"/>
              </w:rPr>
              <w:t>Развијање комуникационих компетенција</w:t>
            </w:r>
            <w:r>
              <w:rPr>
                <w:lang w:val="sr-Cyrl-CS"/>
              </w:rPr>
              <w:t xml:space="preserve">. </w:t>
            </w:r>
            <w:r w:rsidRPr="00EA446C">
              <w:rPr>
                <w:lang w:val="sr-Cyrl-CS"/>
              </w:rPr>
              <w:t>Јагодина:</w:t>
            </w:r>
            <w:r>
              <w:rPr>
                <w:lang w:val="sr-Cyrl-CS"/>
              </w:rPr>
              <w:t xml:space="preserve"> </w:t>
            </w:r>
            <w:r w:rsidRPr="00EA446C">
              <w:rPr>
                <w:lang w:val="sr-Cyrl-CS"/>
              </w:rPr>
              <w:t>Педагошки факултет</w:t>
            </w:r>
            <w:r>
              <w:rPr>
                <w:lang w:val="sr-Cyrl-CS"/>
              </w:rPr>
              <w:t>.</w:t>
            </w:r>
          </w:p>
        </w:tc>
      </w:tr>
      <w:tr w:rsidR="001831DF" w:rsidRPr="00EA446C" w:rsidTr="008D5913">
        <w:tc>
          <w:tcPr>
            <w:tcW w:w="7765" w:type="dxa"/>
            <w:gridSpan w:val="6"/>
          </w:tcPr>
          <w:p w:rsidR="001831DF" w:rsidRPr="003123DD" w:rsidRDefault="001831DF" w:rsidP="008D5913">
            <w:pPr>
              <w:rPr>
                <w:b/>
                <w:bCs/>
                <w:lang w:val="ru-RU"/>
              </w:rPr>
            </w:pPr>
            <w:r w:rsidRPr="00EA446C">
              <w:rPr>
                <w:b/>
                <w:bCs/>
                <w:lang w:val="sr-Cyrl-CS"/>
              </w:rPr>
              <w:t xml:space="preserve">Број часова </w:t>
            </w:r>
            <w:r w:rsidRPr="00EA446C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1831DF" w:rsidRPr="00EA446C" w:rsidRDefault="001831DF" w:rsidP="008D5913">
            <w:pPr>
              <w:rPr>
                <w:b/>
                <w:bCs/>
                <w:lang w:val="ru-RU"/>
              </w:rPr>
            </w:pPr>
            <w:r w:rsidRPr="003123DD">
              <w:rPr>
                <w:lang w:val="ru-RU"/>
              </w:rPr>
              <w:t>Остали часови</w:t>
            </w:r>
          </w:p>
        </w:tc>
      </w:tr>
      <w:tr w:rsidR="001831DF" w:rsidRPr="00EA446C" w:rsidTr="008D5913">
        <w:tc>
          <w:tcPr>
            <w:tcW w:w="1415" w:type="dxa"/>
          </w:tcPr>
          <w:p w:rsidR="001831DF" w:rsidRPr="00EA446C" w:rsidRDefault="001831DF" w:rsidP="008D5913">
            <w:pPr>
              <w:rPr>
                <w:bCs/>
                <w:lang w:val="sr-Cyrl-CS"/>
              </w:rPr>
            </w:pPr>
            <w:r w:rsidRPr="003123DD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EA446C">
              <w:rPr>
                <w:bCs/>
                <w:lang w:val="sr-Cyrl-CS"/>
              </w:rPr>
              <w:t>30</w:t>
            </w:r>
          </w:p>
        </w:tc>
        <w:tc>
          <w:tcPr>
            <w:tcW w:w="957" w:type="dxa"/>
          </w:tcPr>
          <w:p w:rsidR="001831DF" w:rsidRPr="00EA446C" w:rsidRDefault="001831DF" w:rsidP="008D5913">
            <w:pPr>
              <w:rPr>
                <w:bCs/>
                <w:lang w:val="sr-Cyrl-RS"/>
              </w:rPr>
            </w:pPr>
            <w:r w:rsidRPr="003123DD">
              <w:rPr>
                <w:bCs/>
                <w:lang w:val="ru-RU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EA446C">
              <w:rPr>
                <w:bCs/>
                <w:lang w:val="sr-Cyrl-RS"/>
              </w:rPr>
              <w:t>30</w:t>
            </w:r>
          </w:p>
        </w:tc>
        <w:tc>
          <w:tcPr>
            <w:tcW w:w="2553" w:type="dxa"/>
            <w:gridSpan w:val="2"/>
          </w:tcPr>
          <w:p w:rsidR="001831DF" w:rsidRPr="003123DD" w:rsidRDefault="001831DF" w:rsidP="008D5913">
            <w:pPr>
              <w:rPr>
                <w:bCs/>
                <w:lang w:val="ru-RU"/>
              </w:rPr>
            </w:pPr>
            <w:r w:rsidRPr="003123DD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1831DF" w:rsidRPr="005446A0" w:rsidRDefault="001831DF" w:rsidP="008D5913">
            <w:pPr>
              <w:rPr>
                <w:bCs/>
                <w:lang w:val="sr-Cyrl-RS"/>
              </w:rPr>
            </w:pPr>
            <w:r w:rsidRPr="003123DD">
              <w:rPr>
                <w:bCs/>
                <w:lang w:val="ru-RU"/>
              </w:rPr>
              <w:t>Студијски истраживачки рад:</w:t>
            </w:r>
            <w:r>
              <w:rPr>
                <w:bCs/>
                <w:lang w:val="sr-Cyrl-RS"/>
              </w:rPr>
              <w:t xml:space="preserve"> 30</w:t>
            </w:r>
          </w:p>
          <w:p w:rsidR="001831DF" w:rsidRPr="003123DD" w:rsidRDefault="001831DF" w:rsidP="008D5913">
            <w:pPr>
              <w:rPr>
                <w:bCs/>
                <w:lang w:val="ru-RU"/>
              </w:rPr>
            </w:pPr>
          </w:p>
        </w:tc>
        <w:tc>
          <w:tcPr>
            <w:tcW w:w="1522" w:type="dxa"/>
            <w:gridSpan w:val="2"/>
            <w:vMerge/>
          </w:tcPr>
          <w:p w:rsidR="001831DF" w:rsidRPr="003123DD" w:rsidRDefault="001831DF" w:rsidP="008D5913">
            <w:pPr>
              <w:rPr>
                <w:b/>
                <w:bCs/>
                <w:lang w:val="ru-RU"/>
              </w:rPr>
            </w:pP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pPr>
              <w:rPr>
                <w:b/>
                <w:bCs/>
                <w:lang w:val="sr-Cyrl-CS"/>
              </w:rPr>
            </w:pPr>
            <w:r w:rsidRPr="00EA446C">
              <w:rPr>
                <w:b/>
                <w:bCs/>
                <w:lang w:val="sr-Cyrl-CS"/>
              </w:rPr>
              <w:t>Методе извођења наставе</w:t>
            </w:r>
          </w:p>
          <w:p w:rsidR="001831DF" w:rsidRPr="003123DD" w:rsidRDefault="001831DF" w:rsidP="008D5913">
            <w:pPr>
              <w:rPr>
                <w:lang w:val="sr-Cyrl-CS"/>
              </w:rPr>
            </w:pPr>
            <w:r w:rsidRPr="00EA446C">
              <w:t>Метода усменог излагања, метода разговора (дијалошка), истраживачка, компаративна, индуктивно-дедуктивна, аналитичко-синтетичка</w:t>
            </w:r>
            <w:r>
              <w:rPr>
                <w:lang w:val="sr-Cyrl-CS"/>
              </w:rPr>
              <w:t>.</w:t>
            </w:r>
          </w:p>
        </w:tc>
      </w:tr>
      <w:tr w:rsidR="001831DF" w:rsidRPr="00EA446C" w:rsidTr="008D5913">
        <w:tc>
          <w:tcPr>
            <w:tcW w:w="9287" w:type="dxa"/>
            <w:gridSpan w:val="8"/>
          </w:tcPr>
          <w:p w:rsidR="001831DF" w:rsidRPr="00EA446C" w:rsidRDefault="001831DF" w:rsidP="008D5913">
            <w:pPr>
              <w:jc w:val="center"/>
              <w:rPr>
                <w:b/>
                <w:bCs/>
                <w:lang w:val="ru-RU"/>
              </w:rPr>
            </w:pPr>
            <w:r w:rsidRPr="00EA446C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1831DF" w:rsidRPr="00EA446C" w:rsidTr="008D5913">
        <w:tc>
          <w:tcPr>
            <w:tcW w:w="3188" w:type="dxa"/>
            <w:gridSpan w:val="3"/>
          </w:tcPr>
          <w:p w:rsidR="001831DF" w:rsidRPr="00EA446C" w:rsidRDefault="001831DF" w:rsidP="008D5913">
            <w:pPr>
              <w:rPr>
                <w:lang w:val="sr-Cyrl-CS"/>
              </w:rPr>
            </w:pPr>
            <w:r w:rsidRPr="00EA446C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1831DF" w:rsidRPr="00251427" w:rsidRDefault="001831DF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sr-Cyrl-CS"/>
              </w:rPr>
              <w:t>п</w:t>
            </w:r>
            <w:r w:rsidRPr="00251427">
              <w:rPr>
                <w:bCs/>
                <w:lang w:val="en-US"/>
              </w:rPr>
              <w:t>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1831DF" w:rsidRPr="00EA446C" w:rsidRDefault="001831DF" w:rsidP="008D5913">
            <w:pPr>
              <w:rPr>
                <w:lang w:val="en-US"/>
              </w:rPr>
            </w:pPr>
            <w:r w:rsidRPr="00EA446C">
              <w:rPr>
                <w:lang w:val="en-US"/>
              </w:rPr>
              <w:t xml:space="preserve">Завршни испит </w:t>
            </w:r>
          </w:p>
        </w:tc>
        <w:tc>
          <w:tcPr>
            <w:tcW w:w="1188" w:type="dxa"/>
            <w:shd w:val="clear" w:color="auto" w:fill="auto"/>
          </w:tcPr>
          <w:p w:rsidR="001831DF" w:rsidRPr="00251427" w:rsidRDefault="001831DF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1831DF" w:rsidRPr="00EA446C" w:rsidTr="008D5913">
        <w:tc>
          <w:tcPr>
            <w:tcW w:w="3188" w:type="dxa"/>
            <w:gridSpan w:val="3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  <w:r w:rsidRPr="00EA446C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1831DF" w:rsidRPr="00EA446C" w:rsidRDefault="001831DF" w:rsidP="008D5913">
            <w:pPr>
              <w:rPr>
                <w:b/>
                <w:bCs/>
                <w:lang w:val="sr-Cyrl-CS"/>
              </w:rPr>
            </w:pPr>
            <w:r w:rsidRPr="00EA446C">
              <w:t xml:space="preserve">5       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  <w:r w:rsidRPr="00EA446C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1831DF" w:rsidRPr="00EA446C" w:rsidRDefault="001831DF" w:rsidP="008D5913">
            <w:pPr>
              <w:rPr>
                <w:iCs/>
                <w:lang w:val="sr-Cyrl-CS"/>
              </w:rPr>
            </w:pPr>
            <w:r w:rsidRPr="00EA446C">
              <w:rPr>
                <w:iCs/>
                <w:lang w:val="sr-Cyrl-CS"/>
              </w:rPr>
              <w:t>30</w:t>
            </w:r>
          </w:p>
        </w:tc>
      </w:tr>
      <w:tr w:rsidR="001831DF" w:rsidRPr="00EA446C" w:rsidTr="008D5913">
        <w:tc>
          <w:tcPr>
            <w:tcW w:w="3188" w:type="dxa"/>
            <w:gridSpan w:val="3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  <w:r w:rsidRPr="00EA446C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1831DF" w:rsidRPr="00EA446C" w:rsidRDefault="001831DF" w:rsidP="008D5913">
            <w:pPr>
              <w:rPr>
                <w:b/>
                <w:bCs/>
                <w:lang w:val="sr-Cyrl-CS"/>
              </w:rPr>
            </w:pPr>
            <w:r w:rsidRPr="00EA446C"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  <w:r w:rsidRPr="00EA446C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EA446C">
              <w:rPr>
                <w:lang w:val="sr-Cyrl-CS"/>
              </w:rPr>
              <w:t>т</w:t>
            </w:r>
          </w:p>
        </w:tc>
        <w:tc>
          <w:tcPr>
            <w:tcW w:w="1188" w:type="dxa"/>
            <w:shd w:val="clear" w:color="auto" w:fill="auto"/>
          </w:tcPr>
          <w:p w:rsidR="001831DF" w:rsidRPr="00EA446C" w:rsidRDefault="001831DF" w:rsidP="008D5913">
            <w:pPr>
              <w:rPr>
                <w:iCs/>
                <w:lang w:val="sr-Cyrl-CS"/>
              </w:rPr>
            </w:pPr>
            <w:r w:rsidRPr="00EA446C">
              <w:rPr>
                <w:iCs/>
                <w:lang w:val="sr-Cyrl-CS"/>
              </w:rPr>
              <w:t>20</w:t>
            </w:r>
          </w:p>
        </w:tc>
      </w:tr>
      <w:tr w:rsidR="001831DF" w:rsidRPr="00EA446C" w:rsidTr="008D5913">
        <w:tc>
          <w:tcPr>
            <w:tcW w:w="3188" w:type="dxa"/>
            <w:gridSpan w:val="3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  <w:r w:rsidRPr="00EA446C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1831DF" w:rsidRPr="00EA446C" w:rsidRDefault="001831DF" w:rsidP="008D5913">
            <w:pPr>
              <w:rPr>
                <w:b/>
                <w:bCs/>
                <w:lang w:val="sr-Cyrl-RS"/>
              </w:rPr>
            </w:pPr>
            <w:r w:rsidRPr="00EA446C">
              <w:rPr>
                <w:lang w:val="sr-Cyrl-RS"/>
              </w:rPr>
              <w:t>25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</w:p>
        </w:tc>
      </w:tr>
      <w:tr w:rsidR="001831DF" w:rsidRPr="00EA446C" w:rsidTr="008D5913">
        <w:tc>
          <w:tcPr>
            <w:tcW w:w="3188" w:type="dxa"/>
            <w:gridSpan w:val="3"/>
          </w:tcPr>
          <w:p w:rsidR="001831DF" w:rsidRPr="00EA446C" w:rsidRDefault="001831DF" w:rsidP="008D5913">
            <w:pPr>
              <w:rPr>
                <w:lang w:val="sr-Cyrl-CS"/>
              </w:rPr>
            </w:pPr>
            <w:r w:rsidRPr="00EA446C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1831DF" w:rsidRPr="00EA446C" w:rsidRDefault="001831DF" w:rsidP="008D5913">
            <w:pPr>
              <w:rPr>
                <w:b/>
                <w:bCs/>
                <w:lang w:val="sr-Cyrl-CS"/>
              </w:rPr>
            </w:pPr>
            <w:r w:rsidRPr="00EA446C"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1831DF" w:rsidRPr="00EA446C" w:rsidRDefault="001831DF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  <w:bookmarkStart w:id="1" w:name="_GoBack"/>
      <w:bookmarkEnd w:id="1"/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73B5C"/>
    <w:multiLevelType w:val="hybridMultilevel"/>
    <w:tmpl w:val="433CA87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9"/>
  </w:num>
  <w:num w:numId="4">
    <w:abstractNumId w:val="21"/>
  </w:num>
  <w:num w:numId="5">
    <w:abstractNumId w:val="2"/>
  </w:num>
  <w:num w:numId="6">
    <w:abstractNumId w:val="7"/>
  </w:num>
  <w:num w:numId="7">
    <w:abstractNumId w:val="15"/>
  </w:num>
  <w:num w:numId="8">
    <w:abstractNumId w:val="10"/>
  </w:num>
  <w:num w:numId="9">
    <w:abstractNumId w:val="20"/>
  </w:num>
  <w:num w:numId="10">
    <w:abstractNumId w:val="17"/>
  </w:num>
  <w:num w:numId="11">
    <w:abstractNumId w:val="1"/>
  </w:num>
  <w:num w:numId="12">
    <w:abstractNumId w:val="12"/>
  </w:num>
  <w:num w:numId="13">
    <w:abstractNumId w:val="16"/>
  </w:num>
  <w:num w:numId="14">
    <w:abstractNumId w:val="0"/>
  </w:num>
  <w:num w:numId="15">
    <w:abstractNumId w:val="9"/>
  </w:num>
  <w:num w:numId="16">
    <w:abstractNumId w:val="6"/>
  </w:num>
  <w:num w:numId="17">
    <w:abstractNumId w:val="18"/>
  </w:num>
  <w:num w:numId="18">
    <w:abstractNumId w:val="13"/>
  </w:num>
  <w:num w:numId="19">
    <w:abstractNumId w:val="14"/>
  </w:num>
  <w:num w:numId="20">
    <w:abstractNumId w:val="5"/>
  </w:num>
  <w:num w:numId="21">
    <w:abstractNumId w:val="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1831DF"/>
    <w:rsid w:val="0020685C"/>
    <w:rsid w:val="00210769"/>
    <w:rsid w:val="00287AE9"/>
    <w:rsid w:val="003B0F21"/>
    <w:rsid w:val="0047076F"/>
    <w:rsid w:val="00482285"/>
    <w:rsid w:val="004D0268"/>
    <w:rsid w:val="005A10E2"/>
    <w:rsid w:val="00634658"/>
    <w:rsid w:val="007209B2"/>
    <w:rsid w:val="008A6B88"/>
    <w:rsid w:val="008E6243"/>
    <w:rsid w:val="00983458"/>
    <w:rsid w:val="00995E89"/>
    <w:rsid w:val="009D5094"/>
    <w:rsid w:val="009E5427"/>
    <w:rsid w:val="00A939A1"/>
    <w:rsid w:val="00AC766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2013-09-24T11:11:00Z</dcterms:created>
  <dcterms:modified xsi:type="dcterms:W3CDTF">2013-09-24T11:11:00Z</dcterms:modified>
</cp:coreProperties>
</file>